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header+xml" PartName="/word/header2.xml"/>
  <Override ContentType="application/vnd.openxmlformats-officedocument.wordprocessingml.footer+xml" PartName="/word/footer3.xml"/>
  <Override ContentType="application/vnd.openxmlformats-officedocument.wordprocessingml.footer+xml" PartName="/word/footer4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B5651D" w:sz="4" w:space="8"/>
          <w:bottom w:val="single" w:color="B5651D" w:sz="4" w:space="8"/>
        </w:pBdr>
        <w:spacing w:after="120" w:before="360"/>
        <w:jc w:val="center"/>
      </w:pPr>
      <w:r>
        <w:rPr>
          <w:b/>
          <w:bCs/>
          <w:color w:val="8B4A14"/>
          <w:sz w:val="30"/>
          <w:szCs w:val="30"/>
        </w:rPr>
        <w:t xml:space="preserve">Fiche de présentation</w:t>
      </w:r>
    </w:p>
    <w:p>
      <w:pPr>
        <w:keepNext/>
        <w:spacing w:after="240"/>
        <w:jc w:val="center"/>
      </w:pPr>
      <w:r>
        <w:rPr>
          <w:i/>
          <w:iCs/>
          <w:color w:val="555555"/>
          <w:sz w:val="22"/>
          <w:szCs w:val="22"/>
        </w:rPr>
        <w:t xml:space="preserve">Lieu de vie et d’accueil — trame commune SANT 24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70"/>
      </w:tblGrid>
      <w:tr>
        <w:trPr>
          <w:cantSplit/>
        </w:trPr>
        <w:tc>
          <w:tcPr>
            <w:tcW w:type="dxa" w:w="9070"/>
            <w:tcBorders>
              <w:top w:val="none" w:color="FFFFFF" w:sz="0"/>
              <w:left w:val="single" w:color="D4A047" w:sz="12"/>
              <w:bottom w:val="none" w:color="FFFFFF" w:sz="0"/>
              <w:right w:val="none" w:color="FFFFFF" w:sz="0"/>
            </w:tcBorders>
            <w:shd w:fill="FAF5EC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r>
              <w:rPr>
                <w:b/>
                <w:bCs/>
                <w:color w:val="8B4A14"/>
                <w:spacing w:val="30"/>
                <w:sz w:val="18"/>
                <w:szCs w:val="18"/>
              </w:rPr>
              <w:t xml:space="preserve">CONSIGNES DE REMPLISSAGE</w:t>
            </w:r>
          </w:p>
          <w:p>
            <w:pPr>
              <w:spacing w:before="80" w:line="280"/>
              <w:jc w:val="both"/>
            </w:pPr>
            <w:r>
              <w:rPr>
                <w:i/>
                <w:iCs/>
              </w:rPr>
              <w:t xml:space="preserve">Page à supprimer avant transmission à l’Aide sociale à l’enfance.</w:t>
            </w:r>
          </w:p>
        </w:tc>
      </w:tr>
    </w:tbl>
    <w:p>
      <w:pPr>
        <w:spacing w:after="60" w:before="60"/>
      </w:pPr>
      <w:r>
        <w:t xml:space="preserve"/>
      </w:r>
    </w:p>
    <w:p>
      <w:pPr>
        <w:pStyle w:val="ListParagraph"/>
        <w:keepNext/>
        <w:numPr>
          <w:ilvl w:val="0"/>
          <w:numId w:val="2"/>
        </w:numPr>
        <w:spacing w:after="40" w:before="40" w:line="276"/>
        <w:jc w:val="left"/>
      </w:pPr>
      <w:r>
        <w:t xml:space="preserve">Objectif : permettre à un référent de savoir, en une lecture, si la situation qu’il envisage d’orienter correspond à ce que la structure peut réellement accompagner.</w:t>
      </w:r>
    </w:p>
    <w:p>
      <w:pPr>
        <w:pStyle w:val="ListParagraph"/>
        <w:keepNext/>
        <w:numPr>
          <w:ilvl w:val="0"/>
          <w:numId w:val="2"/>
        </w:numPr>
        <w:spacing w:after="40" w:before="40" w:line="276"/>
        <w:jc w:val="left"/>
      </w:pPr>
      <w:r>
        <w:t xml:space="preserve">Une page, deux au maximum. Une fiche longue ne sera pas lue.</w:t>
      </w:r>
    </w:p>
    <w:p>
      <w:pPr>
        <w:pStyle w:val="ListParagraph"/>
        <w:keepNext/>
        <w:numPr>
          <w:ilvl w:val="0"/>
          <w:numId w:val="2"/>
        </w:numPr>
        <w:spacing w:after="40" w:before="40" w:line="276"/>
        <w:jc w:val="left"/>
      </w:pPr>
      <w:r>
        <w:t xml:space="preserve">Le concret fait la valeur de la fiche : des chiffres, des distances, des délais, des noms de partenaires. « Partenariat avec le secteur médical » n’aide personne ; « CMP de Périgueux, délai d’accès trois semaines » permet de décider.</w:t>
      </w:r>
    </w:p>
    <w:p>
      <w:pPr>
        <w:pStyle w:val="ListParagraph"/>
        <w:keepNext/>
        <w:numPr>
          <w:ilvl w:val="0"/>
          <w:numId w:val="2"/>
        </w:numPr>
        <w:spacing w:after="40" w:before="40" w:line="276"/>
        <w:jc w:val="left"/>
      </w:pPr>
      <w:r>
        <w:t xml:space="preserve">Formuler les limites en moyens, jamais en profils. « Aucun poste de veille de nuit n’est prévu » et non « nous n’accueillons pas les jeunes qui fuguent ». La première formulation est objective et se rattache à l’autorisation ; la seconde peut être lue comme une sélection.</w:t>
      </w:r>
    </w:p>
    <w:p>
      <w:pPr>
        <w:pStyle w:val="ListParagraph"/>
        <w:keepNext/>
        <w:numPr>
          <w:ilvl w:val="0"/>
          <w:numId w:val="2"/>
        </w:numPr>
        <w:spacing w:after="40" w:before="40" w:line="276"/>
        <w:jc w:val="left"/>
      </w:pPr>
      <w:r>
        <w:t xml:space="preserve">Aucun élément relatif aux jeunes accueillis. La fiche décrit la structure, pas le groupe.</w:t>
      </w:r>
    </w:p>
    <w:p>
      <w:pPr>
        <w:pStyle w:val="ListParagraph"/>
        <w:keepNext w:val="false"/>
        <w:numPr>
          <w:ilvl w:val="0"/>
          <w:numId w:val="2"/>
        </w:numPr>
        <w:spacing w:after="40" w:before="40" w:line="276"/>
        <w:jc w:val="left"/>
        <w:sectPr>
          <w:headerReference w:type="first" r:id="rId6"/>
          <w:footerReference w:type="default" r:id="rId7"/>
          <w:footerReference w:type="first" r:id="rId8"/>
          <w:pgSz w:w="11906" w:h="16838" w:orient="portrait"/>
          <w:pgMar w:top="1134" w:right="1418" w:bottom="1134" w:left="1418" w:header="720" w:footer="720" w:gutter="0"/>
          <w:pgNumType/>
          <w:titlePg/>
          <w:docGrid w:linePitch="360"/>
        </w:sectPr>
      </w:pPr>
      <w:r>
        <w:t xml:space="preserve">Mise à jour annuelle, et à chaque modification de l’autorisation ou de l’équipe.</w:t>
      </w:r>
    </w:p>
    <w:p>
      <w:pPr>
        <w:keepNext/>
        <w:pBdr>
          <w:top w:val="single" w:color="B5651D" w:sz="4" w:space="8"/>
          <w:bottom w:val="single" w:color="B5651D" w:sz="4" w:space="8"/>
        </w:pBdr>
        <w:spacing w:after="120" w:before="360"/>
        <w:jc w:val="center"/>
      </w:pPr>
      <w:r>
        <w:rPr>
          <w:b/>
          <w:bCs/>
          <w:color w:val="8B4A14"/>
          <w:sz w:val="30"/>
          <w:szCs w:val="30"/>
        </w:rPr>
        <w:t xml:space="preserve">Fiche de présentation</w:t>
      </w:r>
    </w:p>
    <w:p>
      <w:pPr>
        <w:keepNext/>
        <w:spacing w:after="240"/>
        <w:jc w:val="center"/>
      </w:pPr>
      <w:r>
        <w:rPr>
          <w:i/>
          <w:iCs/>
          <w:color w:val="555555"/>
          <w:sz w:val="22"/>
          <w:szCs w:val="22"/>
        </w:rPr>
        <w:t xml:space="preserve">Lieu de vie et d’accueil — trame commune SANT 24</w:t>
      </w:r>
    </w:p>
    <w:p>
      <w:pPr>
        <w:pStyle w:val="Heading1"/>
      </w:pPr>
      <w:r>
        <w:t xml:space="preserve">1. Identification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75"/>
        <w:gridCol w:w="5895"/>
      </w:tblGrid>
      <w:tr>
        <w:trPr>
          <w:cantSplit/>
          <w:trHeight w:val="520" w:hRule="atLeast"/>
        </w:trPr>
        <w:tc>
          <w:tcPr>
            <w:tcW w:type="dxa" w:w="317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0E6D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keepNext/>
            </w:pPr>
            <w:r>
              <w:rPr>
                <w:b/>
                <w:bCs/>
                <w:color w:val="8B4A14"/>
                <w:sz w:val="20"/>
                <w:szCs w:val="20"/>
              </w:rPr>
              <w:t xml:space="preserve">Dénomination</w:t>
            </w:r>
          </w:p>
        </w:tc>
        <w:tc>
          <w:tcPr>
            <w:tcW w:type="dxa" w:w="589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keepNext/>
            </w:pPr>
          </w:p>
        </w:tc>
      </w:tr>
      <w:tr>
        <w:trPr>
          <w:cantSplit/>
          <w:trHeight w:val="520" w:hRule="atLeast"/>
        </w:trPr>
        <w:tc>
          <w:tcPr>
            <w:tcW w:type="dxa" w:w="317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0E6D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keepNext/>
            </w:pPr>
            <w:r>
              <w:rPr>
                <w:b/>
                <w:bCs/>
                <w:color w:val="8B4A14"/>
                <w:sz w:val="20"/>
                <w:szCs w:val="20"/>
              </w:rPr>
              <w:t xml:space="preserve">Gestionnaire</w:t>
            </w:r>
          </w:p>
        </w:tc>
        <w:tc>
          <w:tcPr>
            <w:tcW w:type="dxa" w:w="589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keepNext/>
            </w:pPr>
          </w:p>
        </w:tc>
      </w:tr>
      <w:tr>
        <w:trPr>
          <w:cantSplit/>
          <w:trHeight w:val="520" w:hRule="atLeast"/>
        </w:trPr>
        <w:tc>
          <w:tcPr>
            <w:tcW w:type="dxa" w:w="317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0E6D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keepNext/>
            </w:pPr>
            <w:r>
              <w:rPr>
                <w:b/>
                <w:bCs/>
                <w:color w:val="8B4A14"/>
                <w:sz w:val="20"/>
                <w:szCs w:val="20"/>
              </w:rPr>
              <w:t xml:space="preserve">Adresse</w:t>
            </w:r>
          </w:p>
        </w:tc>
        <w:tc>
          <w:tcPr>
            <w:tcW w:type="dxa" w:w="589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keepNext/>
            </w:pPr>
          </w:p>
        </w:tc>
      </w:tr>
      <w:tr>
        <w:trPr>
          <w:cantSplit/>
          <w:trHeight w:val="520" w:hRule="atLeast"/>
        </w:trPr>
        <w:tc>
          <w:tcPr>
            <w:tcW w:type="dxa" w:w="317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0E6D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keepNext/>
            </w:pPr>
            <w:r>
              <w:rPr>
                <w:b/>
                <w:bCs/>
                <w:color w:val="8B4A14"/>
                <w:sz w:val="20"/>
                <w:szCs w:val="20"/>
              </w:rPr>
              <w:t xml:space="preserve">Téléphone / courriel</w:t>
            </w:r>
          </w:p>
        </w:tc>
        <w:tc>
          <w:tcPr>
            <w:tcW w:type="dxa" w:w="589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keepNext/>
            </w:pPr>
          </w:p>
        </w:tc>
      </w:tr>
      <w:tr>
        <w:trPr>
          <w:cantSplit/>
          <w:trHeight w:val="520" w:hRule="atLeast"/>
        </w:trPr>
        <w:tc>
          <w:tcPr>
            <w:tcW w:type="dxa" w:w="317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0E6D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keepNext/>
            </w:pPr>
            <w:r>
              <w:rPr>
                <w:b/>
                <w:bCs/>
                <w:color w:val="8B4A14"/>
                <w:sz w:val="20"/>
                <w:szCs w:val="20"/>
              </w:rPr>
              <w:t xml:space="preserve">Responsable(s)</w:t>
            </w:r>
          </w:p>
        </w:tc>
        <w:tc>
          <w:tcPr>
            <w:tcW w:type="dxa" w:w="589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keepNext/>
            </w:pPr>
          </w:p>
        </w:tc>
      </w:tr>
      <w:tr>
        <w:trPr>
          <w:cantSplit/>
          <w:trHeight w:val="520" w:hRule="atLeast"/>
        </w:trPr>
        <w:tc>
          <w:tcPr>
            <w:tcW w:type="dxa" w:w="317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0E6D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keepNext/>
            </w:pPr>
            <w:r>
              <w:rPr>
                <w:b/>
                <w:bCs/>
                <w:color w:val="8B4A14"/>
                <w:sz w:val="20"/>
                <w:szCs w:val="20"/>
              </w:rPr>
              <w:t xml:space="preserve">Arrêté d’autorisation</w:t>
            </w:r>
          </w:p>
        </w:tc>
        <w:tc>
          <w:tcPr>
            <w:tcW w:type="dxa" w:w="589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keepNext/>
            </w:pPr>
            <w:r>
              <w:rPr>
                <w:i/>
                <w:iCs/>
                <w:color w:val="555555"/>
                <w:sz w:val="18"/>
                <w:szCs w:val="18"/>
              </w:rPr>
              <w:t xml:space="preserve">numéro et date</w:t>
            </w:r>
          </w:p>
        </w:tc>
      </w:tr>
      <w:tr>
        <w:trPr>
          <w:cantSplit/>
          <w:trHeight w:val="520" w:hRule="atLeast"/>
        </w:trPr>
        <w:tc>
          <w:tcPr>
            <w:tcW w:type="dxa" w:w="317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0E6D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keepNext/>
            </w:pPr>
            <w:r>
              <w:rPr>
                <w:b/>
                <w:bCs/>
                <w:color w:val="8B4A14"/>
                <w:sz w:val="20"/>
                <w:szCs w:val="20"/>
              </w:rPr>
              <w:t xml:space="preserve">Capacité autorisée</w:t>
            </w:r>
          </w:p>
        </w:tc>
        <w:tc>
          <w:tcPr>
            <w:tcW w:type="dxa" w:w="589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keepNext/>
            </w:pPr>
          </w:p>
        </w:tc>
      </w:tr>
      <w:tr>
        <w:trPr>
          <w:cantSplit/>
          <w:trHeight w:val="520" w:hRule="atLeast"/>
        </w:trPr>
        <w:tc>
          <w:tcPr>
            <w:tcW w:type="dxa" w:w="317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0E6D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keepNext/>
            </w:pPr>
            <w:r>
              <w:rPr>
                <w:b/>
                <w:bCs/>
                <w:color w:val="8B4A14"/>
                <w:sz w:val="20"/>
                <w:szCs w:val="20"/>
              </w:rPr>
              <w:t xml:space="preserve">Habilitation justice</w:t>
            </w:r>
          </w:p>
        </w:tc>
        <w:tc>
          <w:tcPr>
            <w:tcW w:type="dxa" w:w="589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keepNext/>
            </w:pPr>
            <w:r>
              <w:rPr>
                <w:i/>
                <w:iCs/>
                <w:color w:val="555555"/>
                <w:sz w:val="18"/>
                <w:szCs w:val="18"/>
              </w:rPr>
              <w:t xml:space="preserve">oui / non</w:t>
            </w:r>
          </w:p>
        </w:tc>
      </w:tr>
      <w:tr>
        <w:trPr>
          <w:cantSplit/>
          <w:trHeight w:val="520" w:hRule="atLeast"/>
        </w:trPr>
        <w:tc>
          <w:tcPr>
            <w:tcW w:type="dxa" w:w="317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0E6D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keepNext w:val="false"/>
            </w:pPr>
            <w:r>
              <w:rPr>
                <w:b/>
                <w:bCs/>
                <w:color w:val="8B4A14"/>
                <w:sz w:val="20"/>
                <w:szCs w:val="20"/>
              </w:rPr>
              <w:t xml:space="preserve">Dernière évaluation</w:t>
            </w:r>
          </w:p>
        </w:tc>
        <w:tc>
          <w:tcPr>
            <w:tcW w:type="dxa" w:w="589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keepNext w:val="false"/>
            </w:pPr>
          </w:p>
        </w:tc>
      </w:tr>
    </w:tbl>
    <w:p>
      <w:pPr>
        <w:spacing w:after="60" w:before="60"/>
      </w:pPr>
      <w:r>
        <w:t xml:space="preserve"/>
      </w:r>
    </w:p>
    <w:p>
      <w:pPr>
        <w:pStyle w:val="Heading1"/>
      </w:pPr>
      <w:r>
        <w:t xml:space="preserve">2. Public autorisé</w:t>
      </w:r>
    </w:p>
    <w:p>
      <w:pPr>
        <w:keepNext/>
        <w:spacing w:after="60" w:before="80" w:line="280"/>
        <w:jc w:val="both"/>
      </w:pPr>
      <w:r>
        <w:rPr>
          <w:i/>
          <w:iCs/>
        </w:rPr>
        <w:t xml:space="preserve">Reprendre les termes exacts de l’arrêté.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75"/>
        <w:gridCol w:w="5895"/>
      </w:tblGrid>
      <w:tr>
        <w:trPr>
          <w:cantSplit/>
          <w:trHeight w:val="520" w:hRule="atLeast"/>
        </w:trPr>
        <w:tc>
          <w:tcPr>
            <w:tcW w:type="dxa" w:w="317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0E6D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keepNext/>
            </w:pPr>
            <w:r>
              <w:rPr>
                <w:b/>
                <w:bCs/>
                <w:color w:val="8B4A14"/>
                <w:sz w:val="20"/>
                <w:szCs w:val="20"/>
              </w:rPr>
              <w:t xml:space="preserve">Tranche d’âge</w:t>
            </w:r>
          </w:p>
        </w:tc>
        <w:tc>
          <w:tcPr>
            <w:tcW w:type="dxa" w:w="589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keepNext/>
            </w:pPr>
          </w:p>
        </w:tc>
      </w:tr>
      <w:tr>
        <w:trPr>
          <w:cantSplit/>
          <w:trHeight w:val="520" w:hRule="atLeast"/>
        </w:trPr>
        <w:tc>
          <w:tcPr>
            <w:tcW w:type="dxa" w:w="317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0E6D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keepNext/>
            </w:pPr>
            <w:r>
              <w:rPr>
                <w:b/>
                <w:bCs/>
                <w:color w:val="8B4A14"/>
                <w:sz w:val="20"/>
                <w:szCs w:val="20"/>
              </w:rPr>
              <w:t xml:space="preserve">Sexe</w:t>
            </w:r>
          </w:p>
        </w:tc>
        <w:tc>
          <w:tcPr>
            <w:tcW w:type="dxa" w:w="589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keepNext/>
            </w:pPr>
          </w:p>
        </w:tc>
      </w:tr>
      <w:tr>
        <w:trPr>
          <w:cantSplit/>
          <w:trHeight w:val="520" w:hRule="atLeast"/>
        </w:trPr>
        <w:tc>
          <w:tcPr>
            <w:tcW w:type="dxa" w:w="317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0E6D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keepNext/>
            </w:pPr>
            <w:r>
              <w:rPr>
                <w:b/>
                <w:bCs/>
                <w:color w:val="8B4A14"/>
                <w:sz w:val="20"/>
                <w:szCs w:val="20"/>
              </w:rPr>
              <w:t xml:space="preserve">Nature des mesures</w:t>
            </w:r>
          </w:p>
        </w:tc>
        <w:tc>
          <w:tcPr>
            <w:tcW w:type="dxa" w:w="589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keepNext/>
            </w:pPr>
          </w:p>
        </w:tc>
      </w:tr>
      <w:tr>
        <w:trPr>
          <w:cantSplit/>
          <w:trHeight w:val="520" w:hRule="atLeast"/>
        </w:trPr>
        <w:tc>
          <w:tcPr>
            <w:tcW w:type="dxa" w:w="317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0E6D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keepNext w:val="false"/>
            </w:pPr>
            <w:r>
              <w:rPr>
                <w:b/>
                <w:bCs/>
                <w:color w:val="8B4A14"/>
                <w:sz w:val="20"/>
                <w:szCs w:val="20"/>
              </w:rPr>
              <w:t xml:space="preserve">Accueils non pratiqués</w:t>
            </w:r>
          </w:p>
        </w:tc>
        <w:tc>
          <w:tcPr>
            <w:tcW w:type="dxa" w:w="589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keepNext w:val="false"/>
            </w:pPr>
            <w:r>
              <w:rPr>
                <w:i/>
                <w:iCs/>
                <w:color w:val="555555"/>
                <w:sz w:val="18"/>
                <w:szCs w:val="18"/>
              </w:rPr>
              <w:t xml:space="preserve">ex. ni accueil d’urgence ni accueil séquentiel</w:t>
            </w:r>
          </w:p>
        </w:tc>
      </w:tr>
    </w:tbl>
    <w:p>
      <w:pPr>
        <w:spacing w:after="60" w:before="60"/>
      </w:pPr>
      <w:r>
        <w:t xml:space="preserve"/>
      </w:r>
    </w:p>
    <w:p>
      <w:pPr>
        <w:pStyle w:val="Heading1"/>
      </w:pPr>
      <w:r>
        <w:t xml:space="preserve">3. Projet pédagogique</w:t>
      </w:r>
    </w:p>
    <w:p>
      <w:pPr>
        <w:keepNext/>
        <w:spacing w:after="60" w:before="80" w:line="280"/>
        <w:jc w:val="both"/>
      </w:pPr>
      <w:r>
        <w:rPr>
          <w:i/>
          <w:iCs/>
        </w:rPr>
        <w:t xml:space="preserve">Cinq lignes. Ce qui fonde l’accompagnement et ce qui distingue la structure des autres LVA du département.</w:t>
      </w:r>
    </w:p>
    <w:p>
      <w:pPr>
        <w:keepNext/>
        <w:keepLines/>
        <w:spacing w:after="60" w:before="200"/>
      </w:pPr>
      <w:r>
        <w:rPr>
          <w:b/>
          <w:bCs/>
          <w:color w:val="C8742A"/>
          <w:sz w:val="20"/>
          <w:szCs w:val="20"/>
        </w:rPr>
        <w:t xml:space="preserve">Exemples de formulation</w:t>
      </w:r>
    </w:p>
    <w:p>
      <w:pPr>
        <w:pStyle w:val="ListParagraph"/>
        <w:keepNext/>
        <w:numPr>
          <w:ilvl w:val="0"/>
          <w:numId w:val="2"/>
        </w:numPr>
        <w:spacing w:after="40" w:before="40" w:line="276"/>
        <w:jc w:val="left"/>
      </w:pPr>
      <w:r>
        <w:rPr>
          <w:i/>
          <w:iCs/>
        </w:rPr>
        <w:t xml:space="preserve">« Accueil de type familial, les permanents vivant sur place avec leurs propres enfants ; le quotidien partagé — repas préparés ensemble, entretien de la maison, soin aux animaux — constitue le principal support éducatif. »</w:t>
      </w:r>
    </w:p>
    <w:p>
      <w:pPr>
        <w:pStyle w:val="ListParagraph"/>
        <w:keepNext/>
        <w:numPr>
          <w:ilvl w:val="0"/>
          <w:numId w:val="2"/>
        </w:numPr>
        <w:spacing w:after="40" w:before="40" w:line="276"/>
        <w:jc w:val="left"/>
      </w:pPr>
      <w:r>
        <w:rPr>
          <w:i/>
          <w:iCs/>
        </w:rPr>
        <w:t xml:space="preserve">« Rythme structuré autour du soin quotidien aux animaux : lever à 7h, soins avant le départ scolaire, reprise en fin de journée. »</w:t>
      </w:r>
    </w:p>
    <w:p>
      <w:pPr>
        <w:pStyle w:val="ListParagraph"/>
        <w:keepNext/>
        <w:numPr>
          <w:ilvl w:val="0"/>
          <w:numId w:val="2"/>
        </w:numPr>
        <w:spacing w:after="40" w:before="40" w:line="276"/>
        <w:jc w:val="left"/>
      </w:pPr>
      <w:r>
        <w:rPr>
          <w:i/>
          <w:iCs/>
        </w:rPr>
        <w:t xml:space="preserve">« Petit collectif de cinq jeunes orienté vers la remobilisation scolaire : une heure d’étude quotidienne, partenariat avec le collège de secteur et la MFR de [commune]. »</w:t>
      </w:r>
    </w:p>
    <w:p>
      <w:pPr>
        <w:pStyle w:val="ListParagraph"/>
        <w:keepNext/>
        <w:numPr>
          <w:ilvl w:val="0"/>
          <w:numId w:val="2"/>
        </w:numPr>
        <w:spacing w:after="40" w:before="40" w:line="276"/>
        <w:jc w:val="left"/>
      </w:pPr>
      <w:r>
        <w:rPr>
          <w:i/>
          <w:iCs/>
        </w:rPr>
        <w:t xml:space="preserve">« Accueil en milieu rural isolé : la mise à distance des sollicitations urbaines et des réseaux antérieurs fait partie intégrante du projet. »</w:t>
      </w:r>
    </w:p>
    <w:p>
      <w:pPr>
        <w:pStyle w:val="ListParagraph"/>
        <w:keepNext w:val="false"/>
        <w:numPr>
          <w:ilvl w:val="0"/>
          <w:numId w:val="2"/>
        </w:numPr>
        <w:spacing w:after="40" w:before="40" w:line="276"/>
        <w:jc w:val="left"/>
      </w:pPr>
      <w:r>
        <w:rPr>
          <w:i/>
          <w:iCs/>
        </w:rPr>
        <w:t xml:space="preserve">« Deux séjours d’itinérance par an, d’une semaine, préparés individuellement avec chaque jeune. »</w:t>
      </w:r>
    </w:p>
    <w:p>
      <w:pPr>
        <w:pStyle w:val="Heading1"/>
      </w:pPr>
      <w:r>
        <w:t xml:space="preserve">4. Ressources mobilisables</w:t>
      </w:r>
    </w:p>
    <w:p>
      <w:pPr>
        <w:keepNext/>
        <w:spacing w:after="60" w:before="80" w:line="280"/>
        <w:jc w:val="both"/>
      </w:pPr>
      <w:r>
        <w:rPr>
          <w:i/>
          <w:iCs/>
        </w:rPr>
        <w:t xml:space="preserve">Ce dont la structure dispose réellement. Chiffrer chaque fois que possible.</w:t>
      </w:r>
    </w:p>
    <w:p>
      <w:pPr>
        <w:keepNext/>
        <w:keepLines/>
        <w:spacing w:after="60" w:before="200"/>
      </w:pPr>
      <w:r>
        <w:rPr>
          <w:b/>
          <w:bCs/>
          <w:color w:val="C8742A"/>
          <w:sz w:val="20"/>
          <w:szCs w:val="20"/>
        </w:rPr>
        <w:t xml:space="preserve">Exemples de formulation</w:t>
      </w:r>
    </w:p>
    <w:p>
      <w:pPr>
        <w:pStyle w:val="ListParagraph"/>
        <w:keepNext/>
        <w:numPr>
          <w:ilvl w:val="0"/>
          <w:numId w:val="2"/>
        </w:numPr>
        <w:spacing w:after="40" w:before="40" w:line="276"/>
        <w:jc w:val="left"/>
      </w:pPr>
      <w:r>
        <w:rPr>
          <w:i/>
          <w:iCs/>
        </w:rPr>
        <w:t xml:space="preserve">« Deux permanents vivant sur place — un éducateur spécialisé, une monitrice-éducatrice — présents 258 jours par an ; un assistant permanent les week-ends et vacances. »</w:t>
      </w:r>
    </w:p>
    <w:p>
      <w:pPr>
        <w:pStyle w:val="ListParagraph"/>
        <w:keepNext/>
        <w:numPr>
          <w:ilvl w:val="0"/>
          <w:numId w:val="2"/>
        </w:numPr>
        <w:spacing w:after="40" w:before="40" w:line="276"/>
        <w:jc w:val="left"/>
      </w:pPr>
      <w:r>
        <w:rPr>
          <w:i/>
          <w:iCs/>
        </w:rPr>
        <w:t xml:space="preserve">« CMP de [ville] à 25 minutes, délai d’accès moyen trois semaines ; médecin traitant à 6 km ; infirmière libérale se déplaçant à domicile. »</w:t>
      </w:r>
    </w:p>
    <w:p>
      <w:pPr>
        <w:pStyle w:val="ListParagraph"/>
        <w:keepNext/>
        <w:numPr>
          <w:ilvl w:val="0"/>
          <w:numId w:val="2"/>
        </w:numPr>
        <w:spacing w:after="40" w:before="40" w:line="276"/>
        <w:jc w:val="left"/>
      </w:pPr>
      <w:r>
        <w:rPr>
          <w:i/>
          <w:iCs/>
        </w:rPr>
        <w:t xml:space="preserve">« Six hectares, potager de 400 m², atelier bois équipé, deux chevaux, un troupeau de douze chèvres, quatre ruches. »</w:t>
      </w:r>
    </w:p>
    <w:p>
      <w:pPr>
        <w:pStyle w:val="ListParagraph"/>
        <w:keepNext/>
        <w:numPr>
          <w:ilvl w:val="0"/>
          <w:numId w:val="2"/>
        </w:numPr>
        <w:spacing w:after="40" w:before="40" w:line="276"/>
        <w:jc w:val="left"/>
      </w:pPr>
      <w:r>
        <w:rPr>
          <w:i/>
          <w:iCs/>
        </w:rPr>
        <w:t xml:space="preserve">« Collège de secteur à 8 km, MFR à 22 km, CFA à 35 km, gare à 15 km. Deux véhicules, tous les trajets assurés par la structure. »</w:t>
      </w:r>
    </w:p>
    <w:p>
      <w:pPr>
        <w:pStyle w:val="ListParagraph"/>
        <w:keepNext/>
        <w:numPr>
          <w:ilvl w:val="0"/>
          <w:numId w:val="2"/>
        </w:numPr>
        <w:spacing w:after="40" w:before="40" w:line="276"/>
        <w:jc w:val="left"/>
      </w:pPr>
      <w:r>
        <w:rPr>
          <w:i/>
          <w:iCs/>
        </w:rPr>
        <w:t xml:space="preserve">« Formations de l’équipe : approche systémique, premiers secours en santé mentale, médiation animale, PSC1 à jour. »</w:t>
      </w:r>
    </w:p>
    <w:p>
      <w:pPr>
        <w:pStyle w:val="ListParagraph"/>
        <w:keepNext/>
        <w:numPr>
          <w:ilvl w:val="0"/>
          <w:numId w:val="2"/>
        </w:numPr>
        <w:spacing w:after="40" w:before="40" w:line="276"/>
        <w:jc w:val="left"/>
      </w:pPr>
      <w:r>
        <w:rPr>
          <w:i/>
          <w:iCs/>
        </w:rPr>
        <w:t xml:space="preserve">« Activités régulières : club de football du village, escalade et canoë en saison, médiathèque intercommunale, permis AM financé par la structure. »</w:t>
      </w:r>
    </w:p>
    <w:p>
      <w:pPr>
        <w:pStyle w:val="ListParagraph"/>
        <w:keepNext w:val="false"/>
        <w:numPr>
          <w:ilvl w:val="0"/>
          <w:numId w:val="2"/>
        </w:numPr>
        <w:spacing w:after="40" w:before="40" w:line="276"/>
        <w:jc w:val="left"/>
      </w:pPr>
      <w:r>
        <w:rPr>
          <w:i/>
          <w:iCs/>
        </w:rPr>
        <w:t xml:space="preserve">« Chambres individuelles pour les cinq places, un studio autonome attenant pour les jeunes majeurs. »</w:t>
      </w:r>
    </w:p>
    <w:p>
      <w:pPr>
        <w:pStyle w:val="Heading1"/>
      </w:pPr>
      <w:r>
        <w:t xml:space="preserve">5. Situations que nous savons accompagner</w:t>
      </w:r>
    </w:p>
    <w:p>
      <w:pPr>
        <w:keepNext/>
        <w:spacing w:after="60" w:before="80" w:line="280"/>
        <w:jc w:val="both"/>
      </w:pPr>
      <w:r>
        <w:rPr>
          <w:i/>
          <w:iCs/>
        </w:rPr>
        <w:t xml:space="preserve">Partir de ce qui a déjà été fait, en indiquant à chaque fois le moyen correspondant.</w:t>
      </w:r>
    </w:p>
    <w:p>
      <w:pPr>
        <w:keepNext/>
        <w:keepLines/>
        <w:spacing w:after="60" w:before="200"/>
      </w:pPr>
      <w:r>
        <w:rPr>
          <w:b/>
          <w:bCs/>
          <w:color w:val="C8742A"/>
          <w:sz w:val="20"/>
          <w:szCs w:val="20"/>
        </w:rPr>
        <w:t xml:space="preserve">Exemples de formulation</w:t>
      </w:r>
    </w:p>
    <w:p>
      <w:pPr>
        <w:pStyle w:val="ListParagraph"/>
        <w:keepNext/>
        <w:numPr>
          <w:ilvl w:val="0"/>
          <w:numId w:val="2"/>
        </w:numPr>
        <w:spacing w:after="40" w:before="40" w:line="276"/>
        <w:jc w:val="left"/>
      </w:pPr>
      <w:r>
        <w:rPr>
          <w:i/>
          <w:iCs/>
        </w:rPr>
        <w:t xml:space="preserve">« Jeunes déscolarisés depuis plus de six mois : reprise progressive par une heure d’étude quotidienne puis inscription en MFR ou en apprentissage. Trois jeunes accompagnés sur ce parcours depuis 2023. »</w:t>
      </w:r>
    </w:p>
    <w:p>
      <w:pPr>
        <w:pStyle w:val="ListParagraph"/>
        <w:keepNext/>
        <w:numPr>
          <w:ilvl w:val="0"/>
          <w:numId w:val="2"/>
        </w:numPr>
        <w:spacing w:after="40" w:before="40" w:line="276"/>
        <w:jc w:val="left"/>
      </w:pPr>
      <w:r>
        <w:rPr>
          <w:i/>
          <w:iCs/>
        </w:rPr>
        <w:t xml:space="preserve">« Jeunes ayant connu plusieurs ruptures de placement : l’effectif réduit et la stabilité des permanents, présents 258 jours par an, permettent un travail du lien dans la durée. »</w:t>
      </w:r>
    </w:p>
    <w:p>
      <w:pPr>
        <w:pStyle w:val="ListParagraph"/>
        <w:keepNext/>
        <w:numPr>
          <w:ilvl w:val="0"/>
          <w:numId w:val="2"/>
        </w:numPr>
        <w:spacing w:after="40" w:before="40" w:line="276"/>
        <w:jc w:val="left"/>
      </w:pPr>
      <w:r>
        <w:rPr>
          <w:i/>
          <w:iCs/>
        </w:rPr>
        <w:t xml:space="preserve">« Suivi pédopsychiatrique ambulatoire : accompagnement systématique aux rendez-vous, y compris hors département, et transmission régulière au référent. »</w:t>
      </w:r>
    </w:p>
    <w:p>
      <w:pPr>
        <w:pStyle w:val="ListParagraph"/>
        <w:keepNext/>
        <w:numPr>
          <w:ilvl w:val="0"/>
          <w:numId w:val="2"/>
        </w:numPr>
        <w:spacing w:after="40" w:before="40" w:line="276"/>
        <w:jc w:val="left"/>
      </w:pPr>
      <w:r>
        <w:rPr>
          <w:i/>
          <w:iCs/>
        </w:rPr>
        <w:t xml:space="preserve">« Mineurs non accompagnés : appui hebdomadaire à l’apprentissage du français par un bénévole, montage des dossiers de titre de séjour avec [association]. »</w:t>
      </w:r>
    </w:p>
    <w:p>
      <w:pPr>
        <w:pStyle w:val="ListParagraph"/>
        <w:keepNext/>
        <w:numPr>
          <w:ilvl w:val="0"/>
          <w:numId w:val="2"/>
        </w:numPr>
        <w:spacing w:after="40" w:before="40" w:line="276"/>
        <w:jc w:val="left"/>
      </w:pPr>
      <w:r>
        <w:rPr>
          <w:i/>
          <w:iCs/>
        </w:rPr>
        <w:t xml:space="preserve">« Jeunes majeurs en contrat : studio autonome sur site, apprentissage de la gestion budgétaire, accompagnement aux démarches CAF et Pôle emploi. »</w:t>
      </w:r>
    </w:p>
    <w:p>
      <w:pPr>
        <w:pStyle w:val="ListParagraph"/>
        <w:keepNext/>
        <w:numPr>
          <w:ilvl w:val="0"/>
          <w:numId w:val="2"/>
        </w:numPr>
        <w:spacing w:after="40" w:before="40" w:line="276"/>
        <w:jc w:val="left"/>
      </w:pPr>
      <w:r>
        <w:rPr>
          <w:i/>
          <w:iCs/>
        </w:rPr>
        <w:t xml:space="preserve">« Jeunes en situation de handicap avec notification MDPH compatible avec une scolarité en ULIS : le collège de secteur dispose d’un dispositif. »</w:t>
      </w:r>
    </w:p>
    <w:p>
      <w:pPr>
        <w:pStyle w:val="ListParagraph"/>
        <w:keepNext w:val="false"/>
        <w:numPr>
          <w:ilvl w:val="0"/>
          <w:numId w:val="2"/>
        </w:numPr>
        <w:spacing w:after="40" w:before="40" w:line="276"/>
        <w:jc w:val="left"/>
      </w:pPr>
      <w:r>
        <w:rPr>
          <w:i/>
          <w:iCs/>
        </w:rPr>
        <w:t xml:space="preserve">« Fratries de deux, dans la limite de la capacité autorisée. »</w:t>
      </w:r>
    </w:p>
    <w:p>
      <w:pPr>
        <w:pStyle w:val="Heading1"/>
      </w:pPr>
      <w:r>
        <w:t xml:space="preserve">6. Situations excédant nos moyens</w:t>
      </w:r>
    </w:p>
    <w:p>
      <w:pPr>
        <w:keepNext/>
        <w:spacing w:after="60" w:before="80" w:line="280"/>
        <w:jc w:val="both"/>
      </w:pPr>
      <w:r>
        <w:rPr>
          <w:i/>
          <w:iCs/>
        </w:rPr>
        <w:t xml:space="preserve">Décrire le moyen manquant et pourquoi. Ne jamais désigner une catégorie de jeunes.</w:t>
      </w:r>
    </w:p>
    <w:p>
      <w:pPr>
        <w:keepNext/>
        <w:keepLines/>
        <w:spacing w:after="60" w:before="200"/>
      </w:pPr>
      <w:r>
        <w:rPr>
          <w:b/>
          <w:bCs/>
          <w:color w:val="C8742A"/>
          <w:sz w:val="20"/>
          <w:szCs w:val="20"/>
        </w:rPr>
        <w:t xml:space="preserve">Exemples de formulation</w:t>
      </w:r>
    </w:p>
    <w:p>
      <w:pPr>
        <w:pStyle w:val="ListParagraph"/>
        <w:keepNext/>
        <w:numPr>
          <w:ilvl w:val="0"/>
          <w:numId w:val="2"/>
        </w:numPr>
        <w:spacing w:after="40" w:before="40" w:line="276"/>
        <w:jc w:val="left"/>
      </w:pPr>
      <w:r>
        <w:rPr>
          <w:i/>
          <w:iCs/>
        </w:rPr>
        <w:t xml:space="preserve">« Situations requérant une surveillance de nuit en éveil : les permanents dorment sur place, aucun poste de veille n’est prévu par l’organisation du travail. »</w:t>
      </w:r>
    </w:p>
    <w:p>
      <w:pPr>
        <w:pStyle w:val="ListParagraph"/>
        <w:keepNext/>
        <w:numPr>
          <w:ilvl w:val="0"/>
          <w:numId w:val="2"/>
        </w:numPr>
        <w:spacing w:after="40" w:before="40" w:line="276"/>
        <w:jc w:val="left"/>
      </w:pPr>
      <w:r>
        <w:rPr>
          <w:i/>
          <w:iCs/>
        </w:rPr>
        <w:t xml:space="preserve">« Situations requérant des soins psychiatriques intensifs ou des hospitalisations répétées : aucun personnel soignant dans l’équipe, service de pédopsychiatrie de rattachement à 45 minutes. »</w:t>
      </w:r>
    </w:p>
    <w:p>
      <w:pPr>
        <w:pStyle w:val="ListParagraph"/>
        <w:keepNext/>
        <w:numPr>
          <w:ilvl w:val="0"/>
          <w:numId w:val="2"/>
        </w:numPr>
        <w:spacing w:after="40" w:before="40" w:line="276"/>
        <w:jc w:val="left"/>
      </w:pPr>
      <w:r>
        <w:rPr>
          <w:i/>
          <w:iCs/>
        </w:rPr>
        <w:t xml:space="preserve">« Situations supposant des moyens de contenance physique : deux adultes présents pour cinq jeunes, locaux non conçus à cet effet. »</w:t>
      </w:r>
    </w:p>
    <w:p>
      <w:pPr>
        <w:pStyle w:val="ListParagraph"/>
        <w:keepNext/>
        <w:numPr>
          <w:ilvl w:val="0"/>
          <w:numId w:val="2"/>
        </w:numPr>
        <w:spacing w:after="40" w:before="40" w:line="276"/>
        <w:jc w:val="left"/>
      </w:pPr>
      <w:r>
        <w:rPr>
          <w:i/>
          <w:iCs/>
        </w:rPr>
        <w:t xml:space="preserve">« Soins infirmiers techniques quotidiens : pas d’infirmier dans l’équipe, passage libéral non assuré les week-ends. »</w:t>
      </w:r>
    </w:p>
    <w:p>
      <w:pPr>
        <w:pStyle w:val="ListParagraph"/>
        <w:keepNext/>
        <w:numPr>
          <w:ilvl w:val="0"/>
          <w:numId w:val="2"/>
        </w:numPr>
        <w:spacing w:after="40" w:before="40" w:line="276"/>
        <w:jc w:val="left"/>
      </w:pPr>
      <w:r>
        <w:rPr>
          <w:i/>
          <w:iCs/>
        </w:rPr>
        <w:t xml:space="preserve">« Handicap moteur : maison ancienne sur deux niveaux, chambres à l’étage, aucune accessibilité PMR. »</w:t>
      </w:r>
    </w:p>
    <w:p>
      <w:pPr>
        <w:pStyle w:val="ListParagraph"/>
        <w:keepNext/>
        <w:numPr>
          <w:ilvl w:val="0"/>
          <w:numId w:val="2"/>
        </w:numPr>
        <w:spacing w:after="40" w:before="40" w:line="276"/>
        <w:jc w:val="left"/>
      </w:pPr>
      <w:r>
        <w:rPr>
          <w:i/>
          <w:iCs/>
        </w:rPr>
        <w:t xml:space="preserve">« Scolarité en IME ou ITEP avec transport quotidien au-delà de 30 km : l’organisation ne permet pas d’assurer ces trajets sans désorganiser le reste du quotidien. »</w:t>
      </w:r>
    </w:p>
    <w:p>
      <w:pPr>
        <w:pStyle w:val="ListParagraph"/>
        <w:keepNext w:val="false"/>
        <w:numPr>
          <w:ilvl w:val="0"/>
          <w:numId w:val="2"/>
        </w:numPr>
        <w:spacing w:after="40" w:before="40" w:line="276"/>
        <w:jc w:val="left"/>
      </w:pPr>
      <w:r>
        <w:rPr>
          <w:i/>
          <w:iCs/>
        </w:rPr>
        <w:t xml:space="preserve">« Situations exigeant la confidentialité du lieu d’accueil : la structure est implantée dans un village de [X] habitants où la présence des jeunes est connue de tous, l’anonymat ne peut y être garanti. »</w:t>
      </w:r>
    </w:p>
    <w:p>
      <w:pPr>
        <w:pStyle w:val="Heading1"/>
      </w:pPr>
      <w:r>
        <w:t xml:space="preserve">7. Modalités d’admission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75"/>
        <w:gridCol w:w="5895"/>
      </w:tblGrid>
      <w:tr>
        <w:trPr>
          <w:cantSplit/>
          <w:trHeight w:val="520" w:hRule="atLeast"/>
        </w:trPr>
        <w:tc>
          <w:tcPr>
            <w:tcW w:type="dxa" w:w="317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0E6D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keepNext/>
            </w:pPr>
            <w:r>
              <w:rPr>
                <w:b/>
                <w:bCs/>
                <w:color w:val="8B4A14"/>
                <w:sz w:val="20"/>
                <w:szCs w:val="20"/>
              </w:rPr>
              <w:t xml:space="preserve">Interlocuteur</w:t>
            </w:r>
          </w:p>
        </w:tc>
        <w:tc>
          <w:tcPr>
            <w:tcW w:type="dxa" w:w="589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keepNext/>
            </w:pPr>
          </w:p>
        </w:tc>
      </w:tr>
      <w:tr>
        <w:trPr>
          <w:cantSplit/>
          <w:trHeight w:val="520" w:hRule="atLeast"/>
        </w:trPr>
        <w:tc>
          <w:tcPr>
            <w:tcW w:type="dxa" w:w="317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0E6D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keepNext/>
            </w:pPr>
            <w:r>
              <w:rPr>
                <w:b/>
                <w:bCs/>
                <w:color w:val="8B4A14"/>
                <w:sz w:val="20"/>
                <w:szCs w:val="20"/>
              </w:rPr>
              <w:t xml:space="preserve">Éléments attendus</w:t>
            </w:r>
          </w:p>
        </w:tc>
        <w:tc>
          <w:tcPr>
            <w:tcW w:type="dxa" w:w="589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keepNext/>
            </w:pPr>
            <w:r>
              <w:rPr>
                <w:i/>
                <w:iCs/>
                <w:color w:val="555555"/>
                <w:sz w:val="18"/>
                <w:szCs w:val="18"/>
              </w:rPr>
              <w:t xml:space="preserve">avec la demande</w:t>
            </w:r>
          </w:p>
        </w:tc>
      </w:tr>
      <w:tr>
        <w:trPr>
          <w:cantSplit/>
          <w:trHeight w:val="520" w:hRule="atLeast"/>
        </w:trPr>
        <w:tc>
          <w:tcPr>
            <w:tcW w:type="dxa" w:w="317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0E6D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keepNext/>
            </w:pPr>
            <w:r>
              <w:rPr>
                <w:b/>
                <w:bCs/>
                <w:color w:val="8B4A14"/>
                <w:sz w:val="20"/>
                <w:szCs w:val="20"/>
              </w:rPr>
              <w:t xml:space="preserve">Délai d’instruction</w:t>
            </w:r>
          </w:p>
        </w:tc>
        <w:tc>
          <w:tcPr>
            <w:tcW w:type="dxa" w:w="589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keepNext/>
            </w:pPr>
          </w:p>
        </w:tc>
      </w:tr>
      <w:tr>
        <w:trPr>
          <w:cantSplit/>
          <w:trHeight w:val="520" w:hRule="atLeast"/>
        </w:trPr>
        <w:tc>
          <w:tcPr>
            <w:tcW w:type="dxa" w:w="317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0E6D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keepNext/>
            </w:pPr>
            <w:r>
              <w:rPr>
                <w:b/>
                <w:bCs/>
                <w:color w:val="8B4A14"/>
                <w:sz w:val="20"/>
                <w:szCs w:val="20"/>
              </w:rPr>
              <w:t xml:space="preserve">Rencontre de pré-admission</w:t>
            </w:r>
          </w:p>
        </w:tc>
        <w:tc>
          <w:tcPr>
            <w:tcW w:type="dxa" w:w="589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keepNext/>
            </w:pPr>
            <w:r>
              <w:rPr>
                <w:i/>
                <w:iCs/>
                <w:color w:val="555555"/>
                <w:sz w:val="18"/>
                <w:szCs w:val="18"/>
              </w:rPr>
              <w:t xml:space="preserve">modalités et durée</w:t>
            </w:r>
          </w:p>
        </w:tc>
      </w:tr>
      <w:tr>
        <w:trPr>
          <w:cantSplit/>
          <w:trHeight w:val="520" w:hRule="atLeast"/>
        </w:trPr>
        <w:tc>
          <w:tcPr>
            <w:tcW w:type="dxa" w:w="317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0E6D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keepNext w:val="false"/>
            </w:pPr>
            <w:r>
              <w:rPr>
                <w:b/>
                <w:bCs/>
                <w:color w:val="8B4A14"/>
                <w:sz w:val="20"/>
                <w:szCs w:val="20"/>
              </w:rPr>
              <w:t xml:space="preserve">Délai demande → accueil</w:t>
            </w:r>
          </w:p>
        </w:tc>
        <w:tc>
          <w:tcPr>
            <w:tcW w:type="dxa" w:w="589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keepNext w:val="false"/>
            </w:pPr>
            <w:r>
              <w:rPr>
                <w:i/>
                <w:iCs/>
                <w:color w:val="555555"/>
                <w:sz w:val="18"/>
                <w:szCs w:val="18"/>
              </w:rPr>
              <w:t xml:space="preserve">indicatif</w:t>
            </w:r>
          </w:p>
        </w:tc>
      </w:tr>
    </w:tbl>
    <w:p>
      <w:pPr>
        <w:spacing w:after="60" w:before="60"/>
      </w:pPr>
      <w:r>
        <w:t xml:space="preserve"/>
      </w:r>
    </w:p>
    <w:p>
      <w:pPr>
        <w:spacing w:after="60" w:before="60"/>
      </w:pPr>
      <w:r>
        <w:t xml:space="preserve"/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70"/>
      </w:tblGrid>
      <w:tr>
        <w:trPr>
          <w:cantSplit/>
        </w:trPr>
        <w:tc>
          <w:tcPr>
            <w:tcW w:type="dxa" w:w="9070"/>
            <w:tcBorders>
              <w:top w:val="none" w:color="FFFFFF" w:sz="0"/>
              <w:left w:val="single" w:color="B5651D" w:sz="12"/>
              <w:bottom w:val="none" w:color="FFFFFF" w:sz="0"/>
              <w:right w:val="none" w:color="FFFFFF" w:sz="0"/>
            </w:tcBorders>
            <w:shd w:fill="FAF5EC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keepNext/>
              <w:tabs>
                <w:tab w:val="right" w:pos="4109" w:leader="dot"/>
                <w:tab w:val="right" w:pos="8560" w:leader="dot"/>
              </w:tabs>
              <w:spacing w:after="20" w:before="100" w:line="300"/>
            </w:pPr>
            <w:r>
              <w:t xml:space="preserve">Fiche établie le : </w:t>
            </w:r>
            <w:r>
              <w:rPr>
                <w:color w:val="8C8C8C"/>
              </w:rPr>
              <w:tab/>
            </w:r>
            <w:r>
              <w:t xml:space="preserve">   Mise à jour prévue le : </w:t>
            </w:r>
            <w:r>
              <w:rPr>
                <w:color w:val="8C8C8C"/>
              </w:rPr>
              <w:tab/>
            </w:r>
          </w:p>
          <w:p>
            <w:pPr>
              <w:keepNext w:val="false"/>
              <w:tabs>
                <w:tab w:val="right" w:pos="8560" w:leader="dot"/>
              </w:tabs>
              <w:spacing w:after="20" w:before="100" w:line="300"/>
            </w:pPr>
            <w:r>
              <w:t xml:space="preserve">Responsable de la structure : </w:t>
            </w:r>
            <w:r>
              <w:rPr>
                <w:color w:val="8C8C8C"/>
              </w:rPr>
              <w:tab/>
            </w:r>
          </w:p>
        </w:tc>
      </w:tr>
    </w:tbl>
    <w:p>
      <w:pPr>
        <w:spacing w:after="60" w:before="60"/>
      </w:pPr>
      <w:r>
        <w:t xml:space="preserve"/>
      </w:r>
    </w:p>
    <w:sectPr>
      <w:headerReference w:type="first" r:id="rId9"/>
      <w:footerReference w:type="default" r:id="rId10"/>
      <w:footerReference w:type="first" r:id="rId11"/>
      <w:pgSz w:w="11906" w:h="16838" w:orient="portrait"/>
      <w:pgMar w:top="1134" w:right="1418" w:bottom="1134" w:left="1418" w:header="720" w:footer="720" w:gutter="0"/>
      <w:pgNumTyp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5651D" w:sz="4" w:space="6"/>
      </w:pBdr>
      <w:jc w:val="center"/>
    </w:pPr>
    <w:r>
      <w:rPr>
        <w:color w:val="555555"/>
        <w:sz w:val="16"/>
        <w:szCs w:val="16"/>
      </w:rPr>
      <w:t xml:space="preserve">Collectif SANT 24  ·  Siège social : 15 chemin de la Source, 24380 Creyssensac-et-Pissot  ·  Page </w:t>
    </w:r>
    <w:r>
      <w:rPr>
        <w:b/>
        <w:bCs/>
        <w:color w:val="8B4A14"/>
        <w:sz w:val="16"/>
        <w:szCs w:val="16"/>
      </w:rPr>
      <w:fldChar w:fldCharType="begin"/>
    </w:r>
    <w:r>
      <w:rPr>
        <w:b/>
        <w:bCs/>
        <w:color w:val="8B4A14"/>
        <w:sz w:val="16"/>
        <w:szCs w:val="16"/>
      </w:rPr>
      <w:instrText xml:space="preserve"> PAGE </w:instrText>
    </w:r>
    <w:r>
      <w:rPr>
        <w:b/>
        <w:bCs/>
        <w:color w:val="8B4A14"/>
        <w:sz w:val="16"/>
        <w:szCs w:val="16"/>
      </w:rPr>
      <w:fldChar w:fldCharType="separate"/>
    </w:r>
    <w:r>
      <w:rPr>
        <w:b/>
        <w:bCs/>
        <w:color w:val="8B4A14"/>
        <w:sz w:val="16"/>
        <w:szCs w:val="16"/>
      </w:rPr>
      <w:t>1</w:t>
    </w:r>
    <w:r>
      <w:rPr>
        <w:b/>
        <w:bCs/>
        <w:color w:val="8B4A14"/>
        <w:sz w:val="16"/>
        <w:szCs w:val="16"/>
      </w:rPr>
      <w:fldChar w:fldCharType="end"/>
    </w:r>
    <w:r>
      <w:rPr>
        <w:color w:val="555555"/>
        <w:sz w:val="16"/>
        <w:szCs w:val="16"/>
      </w:rPr>
      <w:t xml:space="preserve"> / </w:t>
    </w:r>
    <w:r>
      <w:rPr>
        <w:color w:val="555555"/>
        <w:sz w:val="16"/>
        <w:szCs w:val="16"/>
      </w:rPr>
      <w:fldChar w:fldCharType="begin"/>
    </w:r>
    <w:r>
      <w:rPr>
        <w:color w:val="555555"/>
        <w:sz w:val="16"/>
        <w:szCs w:val="16"/>
      </w:rPr>
      <w:instrText xml:space="preserve"> NUMPAGES </w:instrText>
    </w:r>
    <w:r>
      <w:rPr>
        <w:color w:val="555555"/>
        <w:sz w:val="16"/>
        <w:szCs w:val="16"/>
      </w:rPr>
      <w:fldChar w:fldCharType="separate"/>
    </w:r>
    <w:r>
      <w:rPr>
        <w:color w:val="555555"/>
        <w:sz w:val="16"/>
        <w:szCs w:val="16"/>
      </w:rPr>
      <w:t>1</w:t>
    </w:r>
    <w:r>
      <w:rPr>
        <w:color w:val="555555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5651D" w:sz="4" w:space="6"/>
      </w:pBdr>
      <w:jc w:val="center"/>
    </w:pPr>
    <w:r>
      <w:rPr>
        <w:color w:val="555555"/>
        <w:sz w:val="16"/>
        <w:szCs w:val="16"/>
      </w:rPr>
      <w:t xml:space="preserve">Collectif SANT 24  ·  Siège social : 15 chemin de la Source, 24380 Creyssensac-et-Pissot  ·  Page </w:t>
    </w:r>
    <w:r>
      <w:rPr>
        <w:b/>
        <w:bCs/>
        <w:color w:val="8B4A14"/>
        <w:sz w:val="16"/>
        <w:szCs w:val="16"/>
      </w:rPr>
      <w:fldChar w:fldCharType="begin"/>
    </w:r>
    <w:r>
      <w:rPr>
        <w:b/>
        <w:bCs/>
        <w:color w:val="8B4A14"/>
        <w:sz w:val="16"/>
        <w:szCs w:val="16"/>
      </w:rPr>
      <w:instrText xml:space="preserve"> PAGE </w:instrText>
    </w:r>
    <w:r>
      <w:rPr>
        <w:b/>
        <w:bCs/>
        <w:color w:val="8B4A14"/>
        <w:sz w:val="16"/>
        <w:szCs w:val="16"/>
      </w:rPr>
      <w:fldChar w:fldCharType="separate"/>
    </w:r>
    <w:r>
      <w:rPr>
        <w:b/>
        <w:bCs/>
        <w:color w:val="8B4A14"/>
        <w:sz w:val="16"/>
        <w:szCs w:val="16"/>
      </w:rPr>
      <w:t>1</w:t>
    </w:r>
    <w:r>
      <w:rPr>
        <w:b/>
        <w:bCs/>
        <w:color w:val="8B4A14"/>
        <w:sz w:val="16"/>
        <w:szCs w:val="16"/>
      </w:rPr>
      <w:fldChar w:fldCharType="end"/>
    </w:r>
    <w:r>
      <w:rPr>
        <w:color w:val="555555"/>
        <w:sz w:val="16"/>
        <w:szCs w:val="16"/>
      </w:rPr>
      <w:t xml:space="preserve"> / </w:t>
    </w:r>
    <w:r>
      <w:rPr>
        <w:color w:val="555555"/>
        <w:sz w:val="16"/>
        <w:szCs w:val="16"/>
      </w:rPr>
      <w:fldChar w:fldCharType="begin"/>
    </w:r>
    <w:r>
      <w:rPr>
        <w:color w:val="555555"/>
        <w:sz w:val="16"/>
        <w:szCs w:val="16"/>
      </w:rPr>
      <w:instrText xml:space="preserve"> NUMPAGES </w:instrText>
    </w:r>
    <w:r>
      <w:rPr>
        <w:color w:val="555555"/>
        <w:sz w:val="16"/>
        <w:szCs w:val="16"/>
      </w:rPr>
      <w:fldChar w:fldCharType="separate"/>
    </w:r>
    <w:r>
      <w:rPr>
        <w:color w:val="555555"/>
        <w:sz w:val="16"/>
        <w:szCs w:val="16"/>
      </w:rPr>
      <w:t>1</w:t>
    </w:r>
    <w:r>
      <w:rPr>
        <w:color w:val="555555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5651D" w:sz="4" w:space="6"/>
      </w:pBdr>
      <w:jc w:val="center"/>
    </w:pPr>
    <w:r>
      <w:rPr>
        <w:color w:val="555555"/>
        <w:sz w:val="16"/>
        <w:szCs w:val="16"/>
      </w:rPr>
      <w:t xml:space="preserve">Collectif SANT 24  ·  Siège social : 15 chemin de la Source, 24380 Creyssensac-et-Pissot  ·  Page </w:t>
    </w:r>
    <w:r>
      <w:rPr>
        <w:b/>
        <w:bCs/>
        <w:color w:val="8B4A14"/>
        <w:sz w:val="16"/>
        <w:szCs w:val="16"/>
      </w:rPr>
      <w:fldChar w:fldCharType="begin"/>
    </w:r>
    <w:r>
      <w:rPr>
        <w:b/>
        <w:bCs/>
        <w:color w:val="8B4A14"/>
        <w:sz w:val="16"/>
        <w:szCs w:val="16"/>
      </w:rPr>
      <w:instrText xml:space="preserve"> PAGE </w:instrText>
    </w:r>
    <w:r>
      <w:rPr>
        <w:b/>
        <w:bCs/>
        <w:color w:val="8B4A14"/>
        <w:sz w:val="16"/>
        <w:szCs w:val="16"/>
      </w:rPr>
      <w:fldChar w:fldCharType="separate"/>
    </w:r>
    <w:r>
      <w:rPr>
        <w:b/>
        <w:bCs/>
        <w:color w:val="8B4A14"/>
        <w:sz w:val="16"/>
        <w:szCs w:val="16"/>
      </w:rPr>
      <w:t>1</w:t>
    </w:r>
    <w:r>
      <w:rPr>
        <w:b/>
        <w:bCs/>
        <w:color w:val="8B4A14"/>
        <w:sz w:val="16"/>
        <w:szCs w:val="16"/>
      </w:rPr>
      <w:fldChar w:fldCharType="end"/>
    </w:r>
    <w:r>
      <w:rPr>
        <w:color w:val="555555"/>
        <w:sz w:val="16"/>
        <w:szCs w:val="16"/>
      </w:rPr>
      <w:t xml:space="preserve"> / </w:t>
    </w:r>
    <w:r>
      <w:rPr>
        <w:color w:val="555555"/>
        <w:sz w:val="16"/>
        <w:szCs w:val="16"/>
      </w:rPr>
      <w:fldChar w:fldCharType="begin"/>
    </w:r>
    <w:r>
      <w:rPr>
        <w:color w:val="555555"/>
        <w:sz w:val="16"/>
        <w:szCs w:val="16"/>
      </w:rPr>
      <w:instrText xml:space="preserve"> NUMPAGES </w:instrText>
    </w:r>
    <w:r>
      <w:rPr>
        <w:color w:val="555555"/>
        <w:sz w:val="16"/>
        <w:szCs w:val="16"/>
      </w:rPr>
      <w:fldChar w:fldCharType="separate"/>
    </w:r>
    <w:r>
      <w:rPr>
        <w:color w:val="555555"/>
        <w:sz w:val="16"/>
        <w:szCs w:val="16"/>
      </w:rPr>
      <w:t>1</w:t>
    </w:r>
    <w:r>
      <w:rPr>
        <w:color w:val="555555"/>
        <w:sz w:val="16"/>
        <w:szCs w:val="16"/>
      </w:rP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5651D" w:sz="4" w:space="6"/>
      </w:pBdr>
      <w:jc w:val="center"/>
    </w:pPr>
    <w:r>
      <w:rPr>
        <w:color w:val="555555"/>
        <w:sz w:val="16"/>
        <w:szCs w:val="16"/>
      </w:rPr>
      <w:t xml:space="preserve">Collectif SANT 24  ·  Siège social : 15 chemin de la Source, 24380 Creyssensac-et-Pissot  ·  Page </w:t>
    </w:r>
    <w:r>
      <w:rPr>
        <w:b/>
        <w:bCs/>
        <w:color w:val="8B4A14"/>
        <w:sz w:val="16"/>
        <w:szCs w:val="16"/>
      </w:rPr>
      <w:fldChar w:fldCharType="begin"/>
    </w:r>
    <w:r>
      <w:rPr>
        <w:b/>
        <w:bCs/>
        <w:color w:val="8B4A14"/>
        <w:sz w:val="16"/>
        <w:szCs w:val="16"/>
      </w:rPr>
      <w:instrText xml:space="preserve"> PAGE </w:instrText>
    </w:r>
    <w:r>
      <w:rPr>
        <w:b/>
        <w:bCs/>
        <w:color w:val="8B4A14"/>
        <w:sz w:val="16"/>
        <w:szCs w:val="16"/>
      </w:rPr>
      <w:fldChar w:fldCharType="separate"/>
    </w:r>
    <w:r>
      <w:rPr>
        <w:b/>
        <w:bCs/>
        <w:color w:val="8B4A14"/>
        <w:sz w:val="16"/>
        <w:szCs w:val="16"/>
      </w:rPr>
      <w:t>1</w:t>
    </w:r>
    <w:r>
      <w:rPr>
        <w:b/>
        <w:bCs/>
        <w:color w:val="8B4A14"/>
        <w:sz w:val="16"/>
        <w:szCs w:val="16"/>
      </w:rPr>
      <w:fldChar w:fldCharType="end"/>
    </w:r>
    <w:r>
      <w:rPr>
        <w:color w:val="555555"/>
        <w:sz w:val="16"/>
        <w:szCs w:val="16"/>
      </w:rPr>
      <w:t xml:space="preserve"> / </w:t>
    </w:r>
    <w:r>
      <w:rPr>
        <w:color w:val="555555"/>
        <w:sz w:val="16"/>
        <w:szCs w:val="16"/>
      </w:rPr>
      <w:fldChar w:fldCharType="begin"/>
    </w:r>
    <w:r>
      <w:rPr>
        <w:color w:val="555555"/>
        <w:sz w:val="16"/>
        <w:szCs w:val="16"/>
      </w:rPr>
      <w:instrText xml:space="preserve"> NUMPAGES </w:instrText>
    </w:r>
    <w:r>
      <w:rPr>
        <w:color w:val="555555"/>
        <w:sz w:val="16"/>
        <w:szCs w:val="16"/>
      </w:rPr>
      <w:fldChar w:fldCharType="separate"/>
    </w:r>
    <w:r>
      <w:rPr>
        <w:color w:val="555555"/>
        <w:sz w:val="16"/>
        <w:szCs w:val="16"/>
      </w:rPr>
      <w:t>1</w:t>
    </w:r>
    <w:r>
      <w:rPr>
        <w:color w:val="555555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60"/>
      <w:jc w:val="center"/>
    </w:pPr>
    <w:r>
      <w:drawing>
        <wp:inline distT="0" distB="0" distL="0" distR="0">
          <wp:extent cx="571500" cy="447675"/>
          <wp:effectExtent t="0" r="0" b="0" l="0"/>
          <wp:docPr id="15" name="Logo" descr="Logo du Collectif SANT 24" title="Collectif SANT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447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spacing w:after="40"/>
      <w:jc w:val="center"/>
    </w:pPr>
    <w:r>
      <w:rPr>
        <w:b/>
        <w:bCs/>
        <w:color w:val="8B4A14"/>
        <w:spacing w:val="40"/>
        <w:sz w:val="22"/>
        <w:szCs w:val="22"/>
      </w:rPr>
      <w:t xml:space="preserve">COLLECTIF SANT 24</w:t>
    </w:r>
  </w:p>
  <w:p>
    <w:pPr>
      <w:pBdr>
        <w:bottom w:val="single" w:color="B5651D" w:sz="4" w:space="6"/>
      </w:pBdr>
      <w:spacing w:after="80"/>
      <w:jc w:val="center"/>
    </w:pPr>
    <w:r>
      <w:rPr>
        <w:i/>
        <w:iCs/>
        <w:color w:val="555555"/>
        <w:sz w:val="18"/>
        <w:szCs w:val="18"/>
      </w:rPr>
      <w:t xml:space="preserve">Lieux de Vie et d’Accueil de Dordogne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60"/>
      <w:jc w:val="center"/>
    </w:pPr>
    <w:r>
      <w:drawing>
        <wp:inline distT="0" distB="0" distL="0" distR="0">
          <wp:extent cx="571500" cy="447675"/>
          <wp:effectExtent t="0" r="0" b="0" l="0"/>
          <wp:docPr id="16" name="Logo" descr="Logo du Collectif SANT 24" title="Collectif SANT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447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spacing w:after="40"/>
      <w:jc w:val="center"/>
    </w:pPr>
    <w:r>
      <w:rPr>
        <w:b/>
        <w:bCs/>
        <w:color w:val="8B4A14"/>
        <w:spacing w:val="40"/>
        <w:sz w:val="22"/>
        <w:szCs w:val="22"/>
      </w:rPr>
      <w:t xml:space="preserve">COLLECTIF SANT 24</w:t>
    </w:r>
  </w:p>
  <w:p>
    <w:pPr>
      <w:pBdr>
        <w:bottom w:val="single" w:color="B5651D" w:sz="4" w:space="6"/>
      </w:pBdr>
      <w:spacing w:after="80"/>
      <w:jc w:val="center"/>
    </w:pPr>
    <w:r>
      <w:rPr>
        <w:i/>
        <w:iCs/>
        <w:color w:val="555555"/>
        <w:sz w:val="18"/>
        <w:szCs w:val="18"/>
      </w:rPr>
      <w:t xml:space="preserve">Lieux de Vie et d’Accueil de Dordogne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▶"/>
      <w:lvlJc w:val="left"/>
      <w:pPr>
        <w:ind w:left="720" w:hanging="260"/>
      </w:pPr>
      <w:rPr>
        <w:color w:val="B5651D"/>
        <w:sz w:val="20"/>
        <w:szCs w:val="20"/>
      </w:r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▶"/>
      <w:lvlJc w:val="left"/>
      <w:pPr>
        <w:ind w:left="300" w:hanging="260"/>
      </w:pPr>
      <w:rPr>
        <w:color w:val="B5651D"/>
        <w:sz w:val="20"/>
        <w:szCs w:val="20"/>
      </w:rPr>
    </w:lvl>
  </w:abstractNum>
  <w:abstractNum w:abstractNumId="4" w15:restartNumberingAfterBreak="0">
    <w:multiLevelType w:val="hybridMultilevel"/>
    <w:lvl w:ilvl="0" w:tentative="1">
      <w:start w:val="1"/>
      <w:numFmt w:val="bullet"/>
      <w:lvlText w:val="☐"/>
      <w:lvlJc w:val="left"/>
      <w:pPr>
        <w:ind w:left="400" w:hanging="400"/>
      </w:pPr>
      <w:rPr>
        <w:color w:val="8B4A14"/>
        <w:sz w:val="22"/>
        <w:szCs w:val="22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2D2D"/>
        <w:sz w:val="22"/>
        <w:szCs w:val="22"/>
        <w:lang w:val="fr-FR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keepLines/>
      <w:pBdr>
        <w:bottom w:val="single" w:color="B5651D" w:sz="8" w:space="4"/>
      </w:pBdr>
      <w:spacing w:after="140" w:before="320"/>
      <w:outlineLvl w:val="0"/>
    </w:pPr>
    <w:rPr>
      <w:rFonts w:ascii="Calibri" w:cs="Calibri" w:eastAsia="Calibri" w:hAnsi="Calibri"/>
      <w:b/>
      <w:bCs/>
      <w:caps/>
      <w:color w:val="8B4A14"/>
      <w:spacing w:val="24"/>
      <w:sz w:val="24"/>
      <w:szCs w:val="24"/>
    </w:rPr>
  </w:style>
  <w:style w:type="paragraph" w:styleId="Heading2">
    <w:name w:val="Heading 2"/>
    <w:basedOn w:val="Normal"/>
    <w:next w:val="Normal"/>
    <w:qFormat/>
    <w:pPr>
      <w:keepNext/>
      <w:keepLines/>
      <w:spacing w:after="100" w:before="220"/>
      <w:outlineLvl w:val="1"/>
    </w:pPr>
    <w:rPr>
      <w:rFonts w:ascii="Calibri" w:cs="Calibri" w:eastAsia="Calibri" w:hAnsi="Calibri"/>
      <w:b/>
      <w:bCs/>
      <w:color w:val="C8742A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Case">
    <w:name w:val="Case à cocher"/>
    <w:uiPriority w:val="99"/>
    <w:unhideWhenUsed/>
    <w:rPr>
      <w:color w:val="8B4A1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header" Target="header2.xml"/><Relationship Id="rId10" Type="http://schemas.openxmlformats.org/officeDocument/2006/relationships/footer" Target="footer3.xml"/><Relationship Id="rId11" Type="http://schemas.openxmlformats.org/officeDocument/2006/relationships/footer" Target="footer4.xml"/><Relationship Id="rId12" Type="http://schemas.openxmlformats.org/officeDocument/2006/relationships/theme" Target="theme/theme1.xm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1ff21a8b630d0e5573450a08a4e978b1f7cbaed0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1ff21a8b630d0e5573450a08a4e978b1f7cbaed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de présentation — trame commune SANT 24</dc:title>
  <dc:subject>Trame commune de fiche de présentation d’un lieu de vie et d’accueil membre du Collectif SANT 24</dc:subject>
  <dc:creator>Collectif SANT 24</dc:creator>
  <cp:lastModifiedBy>Collectif SANT 24</cp:lastModifiedBy>
  <cp:revision>1</cp:revision>
  <dcterms:created xsi:type="dcterms:W3CDTF">2026-10-09T17:00:24.295Z</dcterms:created>
  <dcterms:modified xsi:type="dcterms:W3CDTF">2026-10-09T17:00:24.295Z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